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mc="http://schemas.openxmlformats.org/markup-compatibility/2006" xmlns:r="http://schemas.openxmlformats.org/officeDocument/2006/relationships" xmlns:w="http://schemas.openxmlformats.org/wordprocessingml/2006/main"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PC-402</w:t>
      </w:r>
    </w:p>
    <w:p>
      <w:pPr>
        <w:spacing w:after="120"/>
      </w:pPr>
      <w:r>
        <w:rPr>
          <w:rFonts w:ascii="Calibri" w:cs="Calibri" w:eastAsia="Calibri" w:hAnsi="Calibri"/>
          <w:b/>
          <w:bCs/>
          <w:color w:val="1F3864"/>
          <w:sz w:val="52"/>
          <w:szCs w:val="52"/>
        </w:rPr>
        <w:t xml:space="preserve">Sales Playbook</w:t>
      </w:r>
    </w:p>
    <w:p>
      <w:pPr>
        <w:spacing w:after="100"/>
      </w:pPr>
      <w:r>
        <w:rPr>
          <w:rFonts w:ascii="Calibri" w:cs="Calibri" w:eastAsia="Calibri" w:hAnsi="Calibri"/>
          <w:color w:val="595959"/>
          <w:sz w:val="24"/>
          <w:szCs w:val="24"/>
        </w:rPr>
        <w:t xml:space="preserve">Presentation content spec, prospect FAQ, and objection handling</w:t>
      </w:r>
    </w:p>
    <w:p>
      <w:pPr>
        <w:pBdr>
          <w:bottom w:val="single" w:color="2E74B5" w:sz="8" w:space="6"/>
        </w:pBdr>
        <w:spacing w:after="80"/>
      </w:pPr>
      <w:r>
        <w:rPr>
          <w:rFonts w:ascii="Calibri" w:cs="Calibri" w:eastAsia="Calibri" w:hAnsi="Calibri"/>
          <w:color w:val="595959"/>
          <w:sz w:val="20"/>
          <w:szCs w:val="20"/>
        </w:rPr>
        <w:t xml:space="preserve">Internal Sales Kit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Part 1: Sales Presentation Content Spec</w:t>
      </w:r>
    </w:p>
    <w:p>
      <w:pPr>
        <w:spacing w:after="120" w:before="0" w:line="276"/>
      </w:pPr>
      <w:r>
        <w:rPr>
          <w:rFonts w:ascii="Calibri" w:cs="Calibri" w:eastAsia="Calibri" w:hAnsi="Calibri"/>
          <w:color w:val="404040"/>
          <w:sz w:val="21"/>
          <w:szCs w:val="21"/>
        </w:rPr>
        <w:t xml:space="preserve">Build a 15-slide prospect deck in your presentation tool using your brand template and the content below. The narrative arc: “you don’t know what you don’t know” → “here’s how we find out together” → “the findings become your resilience roadmap.”</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The Positioning Shift</w:t>
            </w:r>
          </w:p>
          <w:p>
            <w:pPr>
              <w:spacing w:after="40" w:before="0" w:line="276"/>
            </w:pPr>
            <w:r>
              <w:rPr>
                <w:rFonts w:ascii="Calibri" w:cs="Calibri" w:eastAsia="Calibri" w:hAnsi="Calibri"/>
                <w:color w:val="404040"/>
                <w:sz w:val="20"/>
                <w:szCs w:val="20"/>
              </w:rPr>
              <w:t xml:space="preserve">The Pulse Check is not only a service you sell, it is the diagnostic that starts every advisory relationship. The deck’s job is to make the prospect understand: before we recommend anything, we measure where you are. This earns trust. Trust earns the relationship.</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1</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Title</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Resilience Pulse Check. Subtitle: [YOUR ORGANIZATION NAME], Before We Recommend, We Measure. Logo, clean professional imagery.</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Brief introduction. Position yourself as an advisor, not a vendor.</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2</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The Question</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If disruption hit tomorrow, would your team know what to do? 3–4 scenario hooks: “Your controller is suddenly unavailable.” “Your primary vendor goes dark.” “Ransomware encrypts your systems at 2 PM on a Tuesday.”</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Let these land. Pause. The audience should feel the weight of not having answers.</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3</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The Gap</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Most organizations have plans. Almost none have tested them. “A plan that has never been tested is an assumption, not a capability. The Pulse Check tells you which one you have.” [Optionally cite a current industry statistic on untested plans, verify before use.]</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Establish the problem. Don’t sell yet.</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4</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Our Approach</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Before we recommend anything, we measure where you stand. “Every advisory relationship we build starts with a Pulse Check, a structured, scenario-driven exercise that gives us both an honest picture of your organization’s resilience. We don’t guess at your gaps. We surface them together.”</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trust-building slide. Message: we earn the right to advise by doing the work first.</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5</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Is a Pulse Check?</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 2–3 hour facilitated exercise with your leadership team. No technical testing. No systems touched. Your team walks through a realistic disruption scenario and practices the decisions they’d make in a real event. An independent observer documents everything. A peer-reviewed After-Action Report delivers the findings.</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Demystify. Many prospects assume this is technical or intimidating.</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6–7</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It Measures</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Slide 6: visual grid of the 8 disruption categories (Ransomware, Key Person Loss, Vendor Failure, Natural Disaster, Data Breach, Reputation Crisis, Pandemic, Infrastructure Outage). Slide 7: “The Pulse Check doesn’t just test your defenses. It tests your entire organization’s ability to make decisions, communicate, and coordinate when something goes wrong.”</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Emphasize breadth: business resilience, not just IT readiness.</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8–9</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You Get</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Slide 8: deliverables, After-Action Report with severity-rated findings, Executive Summary, prioritized remediation roadmap, compliance evidence package, corrective-action tracker. Slide 9: an anonymized sample finding. “Every finding comes with a severity rating, a specific recommendation, and a compliance framework mapping. This isn’t a conversation summary, it’s a diagnostic report.”</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Deliverable quality is what separates you from DIY exercises.</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10</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The Roadmap Emerges</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Pulse Check findings become your resilience roadmap. “Every gap the Pulse Check surfaces maps to a specific action. Some you can address internally. Some need specialized tools or services. Either way, you’re making decisions based on evidence, not assumptions.”</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This is where the advisory relationship framework clicks. The findings create the demand organically, don’t force it.</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11–12</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The Business Case</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Slide 11: the cost of not knowing, an untested response costs multiples of a tested one; cite current incident-cost research with sources. Slide 12: recurring measurement, “An annual Pulse Check tracks your maturity over time. Year 1 establishes the baseline. Year 2 validates your improvements. Your board sees progress. Your insurer sees diligence.”</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Balance cost-of-inaction with the value of recurring measurement. Keep insurance language hedged: favorable consideration, not guaranteed savings.</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13</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How It Works</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Timeline visual: contract → 4–6 week planning cycle (intake, scenario customization, participants) → 2–3 hour exercise → draft report in 15 business days → After-Action Meeting → final report by day 30 → 30/60/90-day advisory check-ins → annual cycle.</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Show it’s structured and low-burden for their team: one questionnaire, one participant list, one afternoon.</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14</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Investment</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Starting at $[AMOUNT]. “The investment is a fraction of what a single untested response to a real incident would cost. And the findings shape every dollar you spend on resilience afterward.”</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State confidently. Move to next steps.</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76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Slide 15</w:t>
            </w:r>
          </w:p>
        </w:tc>
        <w:tc>
          <w:tcPr>
            <w:tcW w:type="dxa" w:w="7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Call to Action</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Content</w:t>
            </w:r>
          </w:p>
        </w:tc>
        <w:tc>
          <w:tcPr>
            <w:tcW w:type="dxa" w:w="7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Let’s start with what’s true. Complimentary 30-minute consultation: “We’ll help you identify which disruption scenario your team most needs to practice, and show you exactly what the Pulse Check will reveal.”</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Speaker notes</w:t>
            </w:r>
          </w:p>
        </w:tc>
        <w:tc>
          <w:tcPr>
            <w:tcW w:type="dxa" w:w="7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CTA is a conversation. Low commitment, high value. The Pulse Check is the beginning, not the ask.</w:t>
            </w:r>
          </w:p>
        </w:tc>
      </w:tr>
    </w:tbl>
    <w:p>
      <w:pPr>
        <w:pStyle w:val="Heading1"/>
        <w:keepNext/>
        <w:spacing w:after="140" w:before="320"/>
      </w:pPr>
      <w:r>
        <w:rPr>
          <w:rFonts w:ascii="Calibri" w:cs="Calibri" w:eastAsia="Calibri" w:hAnsi="Calibri"/>
          <w:b/>
          <w:bCs/>
          <w:color w:val="1F3864"/>
          <w:sz w:val="30"/>
          <w:szCs w:val="30"/>
        </w:rPr>
        <w:t xml:space="preserve">Part 2: Frequently Asked Questions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CC0000" w:sz="24"/>
              <w:bottom w:val="none" w:color="FFFFFF" w:sz="0"/>
              <w:right w:val="none" w:color="FFFFFF" w:sz="0"/>
            </w:tcBorders>
            <w:shd w:fill="FFF2F2" w:val="clear"/>
            <w:tcMar>
              <w:top w:type="dxa" w:w="100"/>
              <w:left w:type="dxa" w:w="160"/>
              <w:bottom w:type="dxa" w:w="100"/>
              <w:right w:type="dxa" w:w="160"/>
            </w:tcMar>
          </w:tcPr>
          <w:p>
            <w:pPr>
              <w:spacing w:after="60"/>
            </w:pPr>
            <w:r>
              <w:rPr>
                <w:rFonts w:ascii="Calibri" w:cs="Calibri" w:eastAsia="Calibri" w:hAnsi="Calibri"/>
                <w:b/>
                <w:bCs/>
                <w:color w:val="CC0000"/>
                <w:sz w:val="20"/>
                <w:szCs w:val="20"/>
              </w:rPr>
              <w:t xml:space="preserve">⚖ CONSULT LEGAL COUNSEL: Verbal Commitments Create Liability</w:t>
            </w:r>
          </w:p>
          <w:p>
            <w:pPr>
              <w:spacing w:after="40" w:before="0" w:line="276"/>
            </w:pPr>
            <w:r>
              <w:rPr>
                <w:rFonts w:ascii="Calibri" w:cs="Calibri" w:eastAsia="Calibri" w:hAnsi="Calibri"/>
                <w:color w:val="404040"/>
                <w:sz w:val="20"/>
                <w:szCs w:val="20"/>
              </w:rPr>
              <w:t xml:space="preserve">Verbal statements made during sales conversations can create implied obligations. Stick to the language in your signed SOW and NDA when describing confidentiality protections, scope limitations, and compliance value. Do not promise specific compliance outcomes, insurance premium reductions, or regulatory safe harbors. If a prospect asks whether the Pulse Check satisfies a specific regulatory requirement, the accurate answer is that it produces evidence that supports compliance, it does not certify compliance.</w:t>
            </w:r>
          </w:p>
        </w:tc>
      </w:tr>
    </w:tbl>
    <w:p>
      <w:pPr>
        <w:pStyle w:val="Heading3"/>
        <w:keepNext/>
        <w:spacing w:after="90" w:before="200"/>
      </w:pPr>
      <w:r>
        <w:rPr>
          <w:rFonts w:ascii="Calibri" w:cs="Calibri" w:eastAsia="Calibri" w:hAnsi="Calibri"/>
          <w:b/>
          <w:bCs/>
          <w:color w:val="1F3864"/>
          <w:sz w:val="22"/>
          <w:szCs w:val="22"/>
        </w:rPr>
        <w:t xml:space="preserve">What is a tabletop exercise?</w:t>
      </w:r>
    </w:p>
    <w:p>
      <w:pPr>
        <w:spacing w:after="120" w:before="0" w:line="276"/>
      </w:pPr>
      <w:r>
        <w:rPr>
          <w:rFonts w:ascii="Calibri" w:cs="Calibri" w:eastAsia="Calibri" w:hAnsi="Calibri"/>
          <w:color w:val="404040"/>
          <w:sz w:val="21"/>
          <w:szCs w:val="21"/>
        </w:rPr>
        <w:t xml:space="preserve">A facilitated, discussion-based session where your leadership team walks through a realistic scenario, a ransomware attack, a key employee loss, a natural disaster, and discusses how your organization would respond. There is no technical testing, no systems are touched, and there are no right or wrong answers. It’s a structured conversation about your organization’s preparedness.</w:t>
      </w:r>
    </w:p>
    <w:p>
      <w:pPr>
        <w:pStyle w:val="Heading3"/>
        <w:keepNext/>
        <w:spacing w:after="90" w:before="200"/>
      </w:pPr>
      <w:r>
        <w:rPr>
          <w:rFonts w:ascii="Calibri" w:cs="Calibri" w:eastAsia="Calibri" w:hAnsi="Calibri"/>
          <w:b/>
          <w:bCs/>
          <w:color w:val="1F3864"/>
          <w:sz w:val="22"/>
          <w:szCs w:val="22"/>
        </w:rPr>
        <w:t xml:space="preserve">How is this different from a penetration test or vulnerability scan?</w:t>
      </w:r>
    </w:p>
    <w:p>
      <w:pPr>
        <w:spacing w:after="120" w:before="0" w:line="276"/>
      </w:pPr>
      <w:r>
        <w:rPr>
          <w:rFonts w:ascii="Calibri" w:cs="Calibri" w:eastAsia="Calibri" w:hAnsi="Calibri"/>
          <w:color w:val="404040"/>
          <w:sz w:val="21"/>
          <w:szCs w:val="21"/>
        </w:rPr>
        <w:t xml:space="preserve">Penetration tests and vulnerability scans test your technical controls, firewalls, configurations, software vulnerabilities. A tabletop exercise tests your people and processes: decision-making, communication, coordination, and plan execution. Both are important, but they test entirely different things. Many organizations have strong technical controls but have never practiced what happens when those controls fail.</w:t>
      </w:r>
    </w:p>
    <w:p>
      <w:pPr>
        <w:pStyle w:val="Heading3"/>
        <w:keepNext/>
        <w:spacing w:after="90" w:before="200"/>
      </w:pPr>
      <w:r>
        <w:rPr>
          <w:rFonts w:ascii="Calibri" w:cs="Calibri" w:eastAsia="Calibri" w:hAnsi="Calibri"/>
          <w:b/>
          <w:bCs/>
          <w:color w:val="1F3864"/>
          <w:sz w:val="22"/>
          <w:szCs w:val="22"/>
        </w:rPr>
        <w:t xml:space="preserve">How long does it take?</w:t>
      </w:r>
    </w:p>
    <w:p>
      <w:pPr>
        <w:spacing w:after="120" w:before="0" w:line="276"/>
      </w:pPr>
      <w:r>
        <w:rPr>
          <w:rFonts w:ascii="Calibri" w:cs="Calibri" w:eastAsia="Calibri" w:hAnsi="Calibri"/>
          <w:color w:val="404040"/>
          <w:sz w:val="21"/>
          <w:szCs w:val="21"/>
        </w:rPr>
        <w:t xml:space="preserve">The exercise itself is 2–3 hours. The full engagement, planning, scenario customization, exercise delivery, and report delivery, typically spans 4–6 weeks of planning plus 30 business days to the final report. Most of that time is our preparation, not your team’s.</w:t>
      </w:r>
    </w:p>
    <w:p>
      <w:pPr>
        <w:pStyle w:val="Heading3"/>
        <w:keepNext/>
        <w:spacing w:after="90" w:before="200"/>
      </w:pPr>
      <w:r>
        <w:rPr>
          <w:rFonts w:ascii="Calibri" w:cs="Calibri" w:eastAsia="Calibri" w:hAnsi="Calibri"/>
          <w:b/>
          <w:bCs/>
          <w:color w:val="1F3864"/>
          <w:sz w:val="22"/>
          <w:szCs w:val="22"/>
        </w:rPr>
        <w:t xml:space="preserve">Who should participate?</w:t>
      </w:r>
    </w:p>
    <w:p>
      <w:pPr>
        <w:spacing w:after="120" w:before="0" w:line="276"/>
      </w:pPr>
      <w:r>
        <w:rPr>
          <w:rFonts w:ascii="Calibri" w:cs="Calibri" w:eastAsia="Calibri" w:hAnsi="Calibri"/>
          <w:color w:val="404040"/>
          <w:sz w:val="21"/>
          <w:szCs w:val="21"/>
        </w:rPr>
        <w:t xml:space="preserve">The most effective exercises include a cross-functional group: executive leadership, IT, legal, finance, HR, operations, and communications. We help you identify the right participants during planning. Generally 8 to 15 participants produces the best discussion dynamics.</w:t>
      </w:r>
    </w:p>
    <w:p>
      <w:pPr>
        <w:pStyle w:val="Heading3"/>
        <w:keepNext/>
        <w:spacing w:after="90" w:before="200"/>
      </w:pPr>
      <w:r>
        <w:rPr>
          <w:rFonts w:ascii="Calibri" w:cs="Calibri" w:eastAsia="Calibri" w:hAnsi="Calibri"/>
          <w:b/>
          <w:bCs/>
          <w:color w:val="1F3864"/>
          <w:sz w:val="22"/>
          <w:szCs w:val="22"/>
        </w:rPr>
        <w:t xml:space="preserve">What do we get after the exercise?</w:t>
      </w:r>
    </w:p>
    <w:p>
      <w:pPr>
        <w:spacing w:after="120" w:before="0" w:line="276"/>
      </w:pPr>
      <w:r>
        <w:rPr>
          <w:rFonts w:ascii="Calibri" w:cs="Calibri" w:eastAsia="Calibri" w:hAnsi="Calibri"/>
          <w:color w:val="404040"/>
          <w:sz w:val="21"/>
          <w:szCs w:val="21"/>
        </w:rPr>
        <w:t xml:space="preserve">A comprehensive, peer-reviewed After-Action Report with severity-rated findings, an improvement plan with prioritized corrective actions, an executive summary suitable for board distribution, and a compliance evidence package for audit and insurance purposes. The report is explicit about its scope: it reflects what one scenario revealed, honestly framed, not a comprehensive audit of everything.</w:t>
      </w:r>
    </w:p>
    <w:p>
      <w:pPr>
        <w:pStyle w:val="Heading3"/>
        <w:keepNext/>
        <w:spacing w:after="90" w:before="200"/>
      </w:pPr>
      <w:r>
        <w:rPr>
          <w:rFonts w:ascii="Calibri" w:cs="Calibri" w:eastAsia="Calibri" w:hAnsi="Calibri"/>
          <w:b/>
          <w:bCs/>
          <w:color w:val="1F3864"/>
          <w:sz w:val="22"/>
          <w:szCs w:val="22"/>
        </w:rPr>
        <w:t xml:space="preserve">Do we need an incident response plan before doing an exercise?</w:t>
      </w:r>
    </w:p>
    <w:p>
      <w:pPr>
        <w:spacing w:after="120" w:before="0" w:line="276"/>
      </w:pPr>
      <w:r>
        <w:rPr>
          <w:rFonts w:ascii="Calibri" w:cs="Calibri" w:eastAsia="Calibri" w:hAnsi="Calibri"/>
          <w:color w:val="404040"/>
          <w:sz w:val="21"/>
          <w:szCs w:val="21"/>
        </w:rPr>
        <w:t xml:space="preserve">No. Many organizations conduct their first tabletop exercise precisely because they don’t have a plan or haven’t tested the one they have. The exercise reveals the gaps, and the report provides specific recommendations for developing or improving your plans.</w:t>
      </w:r>
    </w:p>
    <w:p>
      <w:pPr>
        <w:pStyle w:val="Heading3"/>
        <w:keepNext/>
        <w:spacing w:after="90" w:before="200"/>
      </w:pPr>
      <w:r>
        <w:rPr>
          <w:rFonts w:ascii="Calibri" w:cs="Calibri" w:eastAsia="Calibri" w:hAnsi="Calibri"/>
          <w:b/>
          <w:bCs/>
          <w:color w:val="1F3864"/>
          <w:sz w:val="22"/>
          <w:szCs w:val="22"/>
        </w:rPr>
        <w:t xml:space="preserve">Is the exercise confidential?</w:t>
      </w:r>
    </w:p>
    <w:p>
      <w:pPr>
        <w:spacing w:after="120" w:before="0" w:line="276"/>
      </w:pPr>
      <w:r>
        <w:rPr>
          <w:rFonts w:ascii="Calibri" w:cs="Calibri" w:eastAsia="Calibri" w:hAnsi="Calibri"/>
          <w:color w:val="404040"/>
          <w:sz w:val="21"/>
          <w:szCs w:val="21"/>
        </w:rPr>
        <w:t xml:space="preserve">Absolutely. The engagement operates under a mutual NDA. Discussions follow Chatham House Rules, individual participants are never identified by name in connection with specific statements in the report. The findings belong to your organization and are never shared with third parties without your written consent.</w:t>
      </w:r>
    </w:p>
    <w:p>
      <w:pPr>
        <w:pStyle w:val="Heading3"/>
        <w:keepNext/>
        <w:spacing w:after="90" w:before="200"/>
      </w:pPr>
      <w:r>
        <w:rPr>
          <w:rFonts w:ascii="Calibri" w:cs="Calibri" w:eastAsia="Calibri" w:hAnsi="Calibri"/>
          <w:b/>
          <w:bCs/>
          <w:color w:val="1F3864"/>
          <w:sz w:val="22"/>
          <w:szCs w:val="22"/>
        </w:rPr>
        <w:t xml:space="preserve">Will this help with our insurance or compliance requirements?</w:t>
      </w:r>
    </w:p>
    <w:p>
      <w:pPr>
        <w:spacing w:after="120" w:before="0" w:line="276"/>
      </w:pPr>
      <w:r>
        <w:rPr>
          <w:rFonts w:ascii="Calibri" w:cs="Calibri" w:eastAsia="Calibri" w:hAnsi="Calibri"/>
          <w:color w:val="404040"/>
          <w:sz w:val="21"/>
          <w:szCs w:val="21"/>
        </w:rPr>
        <w:t xml:space="preserve">The engagement produces a compliance evidence package formatted to support testing requirements in frameworks like HIPAA, PCI-DSS, SOC 2, and CMMC, and documentation many insurance carriers ask for. Compliance determinations rest with your auditor or regulator, and carrier impacts vary, ask your broker.</w:t>
      </w:r>
    </w:p>
    <w:p>
      <w:pPr>
        <w:pStyle w:val="Heading1"/>
        <w:keepNext/>
        <w:spacing w:after="140" w:before="320"/>
      </w:pPr>
      <w:r>
        <w:rPr>
          <w:rFonts w:ascii="Calibri" w:cs="Calibri" w:eastAsia="Calibri" w:hAnsi="Calibri"/>
          <w:b/>
          <w:bCs/>
          <w:color w:val="1F3864"/>
          <w:sz w:val="30"/>
          <w:szCs w:val="30"/>
        </w:rPr>
        <w:t xml:space="preserve">Part 3: Objection Handling</w:t>
      </w:r>
    </w:p>
    <w:p>
      <w:pPr>
        <w:spacing w:after="120" w:before="0" w:line="276"/>
      </w:pPr>
      <w:r>
        <w:rPr>
          <w:rFonts w:ascii="Calibri" w:cs="Calibri" w:eastAsia="Calibri" w:hAnsi="Calibri"/>
          <w:color w:val="404040"/>
          <w:sz w:val="21"/>
          <w:szCs w:val="21"/>
        </w:rPr>
        <w:t xml:space="preserve">The five most frequent objections, with the Acknowledge → Reframe structure. Internalize these; don’t recite them.</w:t>
      </w:r>
    </w:p>
    <w:p>
      <w:pPr>
        <w:pStyle w:val="Heading3"/>
        <w:keepNext/>
        <w:spacing w:after="90" w:before="200"/>
      </w:pPr>
      <w:r>
        <w:rPr>
          <w:rFonts w:ascii="Calibri" w:cs="Calibri" w:eastAsia="Calibri" w:hAnsi="Calibri"/>
          <w:b/>
          <w:bCs/>
          <w:color w:val="1F3864"/>
          <w:sz w:val="22"/>
          <w:szCs w:val="22"/>
        </w:rPr>
        <w:t xml:space="preserve">“We can’t afford it right now.”</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Acknowledge.</w:t>
      </w:r>
      <w:r>
        <w:rPr>
          <w:rFonts w:ascii="Calibri" w:cs="Calibri" w:eastAsia="Calibri" w:hAnsi="Calibri"/>
          <w:color w:val="404040"/>
          <w:sz w:val="21"/>
          <w:szCs w:val="21"/>
        </w:rPr>
        <w:t xml:space="preserve"> Budget constraints are real, and I understand the need to prioritize spending carefully.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Reframe.</w:t>
      </w:r>
      <w:r>
        <w:rPr>
          <w:rFonts w:ascii="Calibri" w:cs="Calibri" w:eastAsia="Calibri" w:hAnsi="Calibri"/>
          <w:color w:val="404040"/>
          <w:sz w:val="21"/>
          <w:szCs w:val="21"/>
        </w:rPr>
        <w:t xml:space="preserve"> The question isn’t whether you can afford a tabletop exercise, it’s whether you can afford not to test your response before a real incident forces you to. Industry research consistently puts the direct cost of a significant incident for an SMB in the six figures, before downtime and reputation damage. The exercise is a small fraction of that, and many carriers view documented resilience testing favorably, your broker can speak to your policy specifically.</w:t>
      </w:r>
    </w:p>
    <w:p>
      <w:pPr>
        <w:pStyle w:val="Heading3"/>
        <w:keepNext/>
        <w:spacing w:after="90" w:before="200"/>
      </w:pPr>
      <w:r>
        <w:rPr>
          <w:rFonts w:ascii="Calibri" w:cs="Calibri" w:eastAsia="Calibri" w:hAnsi="Calibri"/>
          <w:b/>
          <w:bCs/>
          <w:color w:val="1F3864"/>
          <w:sz w:val="22"/>
          <w:szCs w:val="22"/>
        </w:rPr>
        <w:t xml:space="preserve">“We’re too small, this is for larger companies.”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Acknowledge.</w:t>
      </w:r>
      <w:r>
        <w:rPr>
          <w:rFonts w:ascii="Calibri" w:cs="Calibri" w:eastAsia="Calibri" w:hAnsi="Calibri"/>
          <w:color w:val="404040"/>
          <w:sz w:val="21"/>
          <w:szCs w:val="21"/>
        </w:rPr>
        <w:t xml:space="preserve"> It’s a common assumption that tabletop exercises are only for enterprise organizations.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Reframe.</w:t>
      </w:r>
      <w:r>
        <w:rPr>
          <w:rFonts w:ascii="Calibri" w:cs="Calibri" w:eastAsia="Calibri" w:hAnsi="Calibri"/>
          <w:color w:val="404040"/>
          <w:sz w:val="21"/>
          <w:szCs w:val="21"/>
        </w:rPr>
        <w:t xml:space="preserve"> Smaller organizations actually benefit more. Large enterprises have dedicated security teams and practiced procedures. Smaller organizations have fewer people wearing more hats, less documentation, and higher key-person dependency, exactly the conditions where an untested response is most likely to fail. The exercise is scaled to your organization’s size and complexity.</w:t>
      </w:r>
    </w:p>
    <w:p>
      <w:pPr>
        <w:pStyle w:val="Heading3"/>
        <w:keepNext/>
        <w:spacing w:after="90" w:before="200"/>
      </w:pPr>
      <w:r>
        <w:rPr>
          <w:rFonts w:ascii="Calibri" w:cs="Calibri" w:eastAsia="Calibri" w:hAnsi="Calibri"/>
          <w:b/>
          <w:bCs/>
          <w:color w:val="1F3864"/>
          <w:sz w:val="22"/>
          <w:szCs w:val="22"/>
        </w:rPr>
        <w:t xml:space="preserve">“We already have a plan / we’re already compliant.”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Acknowledge.</w:t>
      </w:r>
      <w:r>
        <w:rPr>
          <w:rFonts w:ascii="Calibri" w:cs="Calibri" w:eastAsia="Calibri" w:hAnsi="Calibri"/>
          <w:color w:val="404040"/>
          <w:sz w:val="21"/>
          <w:szCs w:val="21"/>
        </w:rPr>
        <w:t xml:space="preserve"> Having a documented plan is an excellent foundation. That puts you ahead of many organizations.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Reframe.</w:t>
      </w:r>
      <w:r>
        <w:rPr>
          <w:rFonts w:ascii="Calibri" w:cs="Calibri" w:eastAsia="Calibri" w:hAnsi="Calibri"/>
          <w:color w:val="404040"/>
          <w:sz w:val="21"/>
          <w:szCs w:val="21"/>
        </w:rPr>
        <w:t xml:space="preserve"> The question is whether the plan works when you need it. A documented plan that has never been tested is an assumption, not a capability. The exercise doesn’t test whether the plan exists, it tests whether the people who need to execute it know what it says, can find it, and can follow it under pressure. Most first exercises reveal significant gaps between what the plan says and what the team actually does.</w:t>
      </w:r>
    </w:p>
    <w:p>
      <w:pPr>
        <w:pStyle w:val="Heading3"/>
        <w:keepNext/>
        <w:spacing w:after="90" w:before="200"/>
      </w:pPr>
      <w:r>
        <w:rPr>
          <w:rFonts w:ascii="Calibri" w:cs="Calibri" w:eastAsia="Calibri" w:hAnsi="Calibri"/>
          <w:b/>
          <w:bCs/>
          <w:color w:val="1F3864"/>
          <w:sz w:val="22"/>
          <w:szCs w:val="22"/>
        </w:rPr>
        <w:t xml:space="preserve">“Our team is too busy to take half a day for this.”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Acknowledge.</w:t>
      </w:r>
      <w:r>
        <w:rPr>
          <w:rFonts w:ascii="Calibri" w:cs="Calibri" w:eastAsia="Calibri" w:hAnsi="Calibri"/>
          <w:color w:val="404040"/>
          <w:sz w:val="21"/>
          <w:szCs w:val="21"/>
        </w:rPr>
        <w:t xml:space="preserve"> I understand your team is stretched. Everyone’s bandwidth is limited.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Reframe.</w:t>
      </w:r>
      <w:r>
        <w:rPr>
          <w:rFonts w:ascii="Calibri" w:cs="Calibri" w:eastAsia="Calibri" w:hAnsi="Calibri"/>
          <w:color w:val="404040"/>
          <w:sz w:val="21"/>
          <w:szCs w:val="21"/>
        </w:rPr>
        <w:t xml:space="preserve"> A real incident won’t wait for a convenient time. When a disruption hits at 2 PM on a Tuesday, your entire leadership team gets pulled into an unplanned, high-stakes response that lasts days, not hours. A 2–3 hour exercise is the controlled version of that disruption, the one time you get to practice when the stakes are low.</w:t>
      </w:r>
    </w:p>
    <w:p>
      <w:pPr>
        <w:pStyle w:val="Heading3"/>
        <w:keepNext/>
        <w:spacing w:after="90" w:before="200"/>
      </w:pPr>
      <w:r>
        <w:rPr>
          <w:rFonts w:ascii="Calibri" w:cs="Calibri" w:eastAsia="Calibri" w:hAnsi="Calibri"/>
          <w:b/>
          <w:bCs/>
          <w:color w:val="1F3864"/>
          <w:sz w:val="22"/>
          <w:szCs w:val="22"/>
        </w:rPr>
        <w:t xml:space="preserve">“We can do this ourselves with free CISA materials.”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Acknowledge.</w:t>
      </w:r>
      <w:r>
        <w:rPr>
          <w:rFonts w:ascii="Calibri" w:cs="Calibri" w:eastAsia="Calibri" w:hAnsi="Calibri"/>
          <w:color w:val="404040"/>
          <w:sz w:val="21"/>
          <w:szCs w:val="21"/>
        </w:rPr>
        <w:t xml:space="preserve"> CISA’s tabletop exercise packages are excellent free resources. We use them as foundational references ourselves.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Reframe.</w:t>
      </w:r>
      <w:r>
        <w:rPr>
          <w:rFonts w:ascii="Calibri" w:cs="Calibri" w:eastAsia="Calibri" w:hAnsi="Calibri"/>
          <w:color w:val="404040"/>
          <w:sz w:val="21"/>
          <w:szCs w:val="21"/>
        </w:rPr>
        <w:t xml:space="preserve"> The free packages provide a scenario framework. They don’t provide facilitation expertise, independent observation, calibrated findings analysis, or a peer-reviewed report with prioritized recommendations. The difference between a self-facilitated exercise and a professionally facilitated one is the difference between reading about swimming and having a coach in the pool. The scenario is 20% of the value, the facilitation, observation, and analysis are the other 80%.</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Sales Playbook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2026-07-14T20:12:52.331Z</dcterms:created>
  <dcterms:modified xsi:type="dcterms:W3CDTF">2026-07-14T20:12:52.331Z</dcterms:modified>
</cp:coreProperties>
</file>

<file path=docProps/custom.xml><?xml version="1.0" encoding="utf-8"?>
<Properties xmlns="http://schemas.openxmlformats.org/officeDocument/2006/custom-properties" xmlns:vt="http://schemas.openxmlformats.org/officeDocument/2006/docPropsVTypes"/>
</file>